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90" w:rsidRDefault="00BF2190" w:rsidP="000D49A4">
      <w:pPr>
        <w:spacing w:afterLines="60"/>
        <w:jc w:val="center"/>
        <w:rPr>
          <w:rFonts w:ascii="Arial" w:hAnsi="Arial" w:cs="Arial"/>
          <w:bCs/>
          <w:sz w:val="56"/>
          <w:szCs w:val="56"/>
        </w:rPr>
      </w:pPr>
    </w:p>
    <w:p w:rsidR="00521518" w:rsidRPr="00BF2190" w:rsidRDefault="008543C9" w:rsidP="000D49A4">
      <w:pPr>
        <w:spacing w:afterLines="60"/>
        <w:jc w:val="center"/>
        <w:rPr>
          <w:rFonts w:ascii="Arial" w:hAnsi="Arial" w:cs="Arial"/>
          <w:bCs/>
          <w:sz w:val="56"/>
          <w:szCs w:val="56"/>
        </w:rPr>
      </w:pPr>
      <w:r w:rsidRPr="00BF2190">
        <w:rPr>
          <w:rFonts w:ascii="Arial" w:hAnsi="Arial" w:cs="Arial"/>
          <w:bCs/>
          <w:sz w:val="56"/>
          <w:szCs w:val="56"/>
        </w:rPr>
        <w:t>Anexo 1</w:t>
      </w:r>
      <w:r w:rsidR="000D49A4">
        <w:rPr>
          <w:rFonts w:ascii="Arial" w:hAnsi="Arial" w:cs="Arial"/>
          <w:bCs/>
          <w:sz w:val="56"/>
          <w:szCs w:val="56"/>
        </w:rPr>
        <w:t>4</w:t>
      </w:r>
    </w:p>
    <w:p w:rsidR="00521518" w:rsidRDefault="00521518" w:rsidP="000D49A4">
      <w:pPr>
        <w:spacing w:afterLines="60"/>
        <w:jc w:val="center"/>
        <w:rPr>
          <w:rFonts w:ascii="Arial" w:hAnsi="Arial" w:cs="Arial"/>
          <w:bCs/>
          <w:sz w:val="36"/>
          <w:szCs w:val="36"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Cs/>
          <w:sz w:val="36"/>
          <w:szCs w:val="36"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Cs/>
          <w:sz w:val="36"/>
          <w:szCs w:val="36"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Cs/>
          <w:sz w:val="36"/>
          <w:szCs w:val="36"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Cs/>
          <w:sz w:val="36"/>
          <w:szCs w:val="36"/>
        </w:rPr>
      </w:pPr>
    </w:p>
    <w:p w:rsidR="00521518" w:rsidRPr="00586B4A" w:rsidRDefault="00521518" w:rsidP="000D49A4">
      <w:pPr>
        <w:spacing w:afterLines="60"/>
        <w:jc w:val="center"/>
        <w:rPr>
          <w:rFonts w:ascii="Arial" w:hAnsi="Arial" w:cs="Arial"/>
          <w:bCs/>
          <w:sz w:val="36"/>
          <w:szCs w:val="36"/>
        </w:rPr>
      </w:pPr>
    </w:p>
    <w:p w:rsidR="00521518" w:rsidRPr="00586B4A" w:rsidRDefault="00521518" w:rsidP="000D49A4">
      <w:pPr>
        <w:spacing w:afterLines="60" w:line="240" w:lineRule="auto"/>
        <w:contextualSpacing/>
        <w:jc w:val="center"/>
        <w:rPr>
          <w:rFonts w:ascii="Arial" w:hAnsi="Arial" w:cs="Arial"/>
          <w:bCs/>
          <w:sz w:val="56"/>
          <w:szCs w:val="56"/>
        </w:rPr>
      </w:pPr>
      <w:r w:rsidRPr="00586B4A">
        <w:rPr>
          <w:rFonts w:ascii="Arial" w:hAnsi="Arial" w:cs="Arial"/>
          <w:bCs/>
          <w:sz w:val="56"/>
          <w:szCs w:val="56"/>
        </w:rPr>
        <w:t xml:space="preserve">GLOSSÁRIO DE TERMOS UTILIZADOS </w:t>
      </w: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spacing w:afterLines="60"/>
        <w:jc w:val="center"/>
        <w:rPr>
          <w:rFonts w:ascii="Arial" w:hAnsi="Arial" w:cs="Arial"/>
          <w:b/>
          <w:bCs/>
        </w:rPr>
      </w:pPr>
    </w:p>
    <w:p w:rsidR="00521518" w:rsidRDefault="00521518" w:rsidP="000D49A4">
      <w:pPr>
        <w:pStyle w:val="Default"/>
        <w:spacing w:afterLines="60" w:line="360" w:lineRule="auto"/>
        <w:jc w:val="both"/>
        <w:rPr>
          <w:sz w:val="22"/>
          <w:szCs w:val="22"/>
        </w:rPr>
      </w:pPr>
      <w:r w:rsidRPr="00F46FAC">
        <w:rPr>
          <w:b/>
          <w:bCs/>
          <w:sz w:val="22"/>
          <w:szCs w:val="22"/>
        </w:rPr>
        <w:t>Ambiente Computacional:</w:t>
      </w:r>
      <w:r w:rsidRPr="0029453B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 w:rsidRPr="0029453B">
        <w:rPr>
          <w:sz w:val="22"/>
          <w:szCs w:val="22"/>
        </w:rPr>
        <w:t>onjunto formado pelos sistemas específicos da Contratante, pelos sistemas e ferramentas de suporte à Tecnologia da Informação (TI)</w:t>
      </w:r>
      <w:r>
        <w:rPr>
          <w:sz w:val="22"/>
          <w:szCs w:val="22"/>
        </w:rPr>
        <w:t>.</w:t>
      </w:r>
    </w:p>
    <w:p w:rsidR="002A6986" w:rsidRDefault="002A6986" w:rsidP="000D49A4">
      <w:pPr>
        <w:autoSpaceDE w:val="0"/>
        <w:autoSpaceDN w:val="0"/>
        <w:adjustRightInd w:val="0"/>
        <w:spacing w:afterLines="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Categoria de Serviço: </w:t>
      </w:r>
      <w:r w:rsidR="00EE1E4C">
        <w:rPr>
          <w:rFonts w:ascii="Arial" w:hAnsi="Arial" w:cs="Arial"/>
        </w:rPr>
        <w:t xml:space="preserve">forma de distribuição do objeto do contrato em grupos de serviço para fins de </w:t>
      </w:r>
      <w:r w:rsidR="006400A8">
        <w:rPr>
          <w:rFonts w:ascii="Arial" w:hAnsi="Arial" w:cs="Arial"/>
        </w:rPr>
        <w:t>simplificar a fiscalização futura e aferir os resultados.</w:t>
      </w:r>
      <w:r w:rsidR="00EE1E4C">
        <w:rPr>
          <w:rFonts w:ascii="Arial" w:hAnsi="Arial" w:cs="Arial"/>
        </w:rPr>
        <w:t xml:space="preserve"> Uma categoria de serviços pode ser </w:t>
      </w:r>
      <w:r w:rsidR="008543C9">
        <w:rPr>
          <w:rFonts w:ascii="Arial" w:hAnsi="Arial" w:cs="Arial"/>
        </w:rPr>
        <w:t>composta</w:t>
      </w:r>
      <w:r w:rsidR="00EE1E4C">
        <w:rPr>
          <w:rFonts w:ascii="Arial" w:hAnsi="Arial" w:cs="Arial"/>
        </w:rPr>
        <w:t xml:space="preserve"> por um ou mais perfis profissionais</w:t>
      </w:r>
      <w:r w:rsidR="008543C9">
        <w:rPr>
          <w:rFonts w:ascii="Arial" w:hAnsi="Arial" w:cs="Arial"/>
        </w:rPr>
        <w:t>, diferenciados, principalmente, pelo tempo de experiência na execução de serviços da categoria de serviços à qual estão vinculados.</w:t>
      </w:r>
    </w:p>
    <w:p w:rsidR="00521518" w:rsidRDefault="00521518" w:rsidP="000D49A4">
      <w:pPr>
        <w:pStyle w:val="Default"/>
        <w:spacing w:afterLines="60" w:line="360" w:lineRule="auto"/>
        <w:jc w:val="both"/>
        <w:rPr>
          <w:bCs/>
          <w:sz w:val="22"/>
          <w:szCs w:val="22"/>
        </w:rPr>
      </w:pPr>
      <w:r w:rsidRPr="00E264FC">
        <w:rPr>
          <w:b/>
          <w:sz w:val="22"/>
          <w:szCs w:val="22"/>
        </w:rPr>
        <w:t>Fatores de ajuste de remuneração dos serviços por descumprimento do</w:t>
      </w:r>
      <w:r>
        <w:rPr>
          <w:b/>
          <w:sz w:val="22"/>
          <w:szCs w:val="22"/>
        </w:rPr>
        <w:t>s</w:t>
      </w:r>
      <w:r w:rsidRPr="00E264FC">
        <w:rPr>
          <w:b/>
          <w:sz w:val="22"/>
          <w:szCs w:val="22"/>
        </w:rPr>
        <w:t xml:space="preserve"> NMS:</w:t>
      </w:r>
      <w:r>
        <w:rPr>
          <w:sz w:val="22"/>
          <w:szCs w:val="22"/>
        </w:rPr>
        <w:t xml:space="preserve"> </w:t>
      </w:r>
      <w:r w:rsidRPr="009F0A2F">
        <w:rPr>
          <w:sz w:val="22"/>
          <w:szCs w:val="22"/>
        </w:rPr>
        <w:t>representam índices redutores de pagamento (glosa) a serem aplicados ao valor de uma OS cujo indicador de NMS não foi alcançado. Esses fatores têm por objetivo remunerar devidamente a Contratada em função de resultados verificados e do atendimento conforme os NMS contratados.</w:t>
      </w:r>
    </w:p>
    <w:p w:rsidR="00521518" w:rsidRPr="00E264FC" w:rsidRDefault="00521518" w:rsidP="000D49A4">
      <w:pPr>
        <w:pStyle w:val="Default"/>
        <w:spacing w:afterLines="60" w:line="360" w:lineRule="auto"/>
        <w:jc w:val="both"/>
        <w:rPr>
          <w:bCs/>
          <w:sz w:val="22"/>
          <w:szCs w:val="22"/>
        </w:rPr>
      </w:pPr>
      <w:r w:rsidRPr="00E264FC">
        <w:rPr>
          <w:b/>
          <w:sz w:val="22"/>
          <w:szCs w:val="22"/>
        </w:rPr>
        <w:t>Fatores de penalização por reincidência ao não atendimento dos NMS:</w:t>
      </w:r>
      <w:r>
        <w:rPr>
          <w:b/>
          <w:sz w:val="22"/>
          <w:szCs w:val="22"/>
        </w:rPr>
        <w:t xml:space="preserve"> </w:t>
      </w:r>
      <w:r w:rsidRPr="009F0A2F">
        <w:rPr>
          <w:sz w:val="22"/>
          <w:szCs w:val="22"/>
        </w:rPr>
        <w:t>decorrem do descumprimento</w:t>
      </w:r>
      <w:r>
        <w:rPr>
          <w:sz w:val="22"/>
          <w:szCs w:val="22"/>
        </w:rPr>
        <w:t>,</w:t>
      </w:r>
      <w:r w:rsidRPr="009F0A2F">
        <w:rPr>
          <w:sz w:val="22"/>
          <w:szCs w:val="22"/>
        </w:rPr>
        <w:t xml:space="preserve"> pela Contratada</w:t>
      </w:r>
      <w:r>
        <w:rPr>
          <w:sz w:val="22"/>
          <w:szCs w:val="22"/>
        </w:rPr>
        <w:t>,</w:t>
      </w:r>
      <w:r w:rsidRPr="009F0A2F">
        <w:rPr>
          <w:sz w:val="22"/>
          <w:szCs w:val="22"/>
        </w:rPr>
        <w:t xml:space="preserve"> das metas de serviço estabelecidas no IMC</w:t>
      </w:r>
      <w:r>
        <w:rPr>
          <w:sz w:val="22"/>
          <w:szCs w:val="22"/>
        </w:rPr>
        <w:t>. S</w:t>
      </w:r>
      <w:r w:rsidRPr="009F0A2F">
        <w:rPr>
          <w:sz w:val="22"/>
          <w:szCs w:val="22"/>
        </w:rPr>
        <w:t>erão aplicad</w:t>
      </w:r>
      <w:r>
        <w:rPr>
          <w:sz w:val="22"/>
          <w:szCs w:val="22"/>
        </w:rPr>
        <w:t>o</w:t>
      </w:r>
      <w:r w:rsidRPr="009F0A2F">
        <w:rPr>
          <w:sz w:val="22"/>
          <w:szCs w:val="22"/>
        </w:rPr>
        <w:t>s sobre o valor da OS e cumulativamente à aplicação do fator de ajuste de remuneração</w:t>
      </w:r>
      <w:r>
        <w:rPr>
          <w:sz w:val="22"/>
          <w:szCs w:val="22"/>
        </w:rPr>
        <w:t>.</w:t>
      </w:r>
    </w:p>
    <w:p w:rsidR="00521518" w:rsidRDefault="00521518" w:rsidP="000D49A4">
      <w:pPr>
        <w:pStyle w:val="Default"/>
        <w:spacing w:afterLines="60" w:line="360" w:lineRule="auto"/>
        <w:jc w:val="both"/>
        <w:rPr>
          <w:sz w:val="22"/>
          <w:szCs w:val="22"/>
        </w:rPr>
      </w:pPr>
      <w:r w:rsidRPr="008F5B19">
        <w:rPr>
          <w:b/>
          <w:bCs/>
          <w:sz w:val="22"/>
          <w:szCs w:val="22"/>
        </w:rPr>
        <w:t>Gestão de Nível de Serviços (GNS)</w:t>
      </w:r>
      <w:r w:rsidRPr="0029453B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875F90">
        <w:rPr>
          <w:sz w:val="22"/>
          <w:szCs w:val="22"/>
        </w:rPr>
        <w:t>é um conjunto de proce</w:t>
      </w:r>
      <w:r>
        <w:rPr>
          <w:sz w:val="22"/>
          <w:szCs w:val="22"/>
        </w:rPr>
        <w:t>dimentos rotineiros e regras pre</w:t>
      </w:r>
      <w:r w:rsidRPr="00875F90">
        <w:rPr>
          <w:sz w:val="22"/>
          <w:szCs w:val="22"/>
        </w:rPr>
        <w:t xml:space="preserve">estabelecidas entre a Contratante e a Contratada que </w:t>
      </w:r>
      <w:r>
        <w:rPr>
          <w:sz w:val="22"/>
          <w:szCs w:val="22"/>
        </w:rPr>
        <w:t>objetivam</w:t>
      </w:r>
      <w:r w:rsidRPr="00875F90">
        <w:rPr>
          <w:sz w:val="22"/>
          <w:szCs w:val="22"/>
        </w:rPr>
        <w:t xml:space="preserve"> garantir: a prestação dos serviços contratados em níveis adequados à Contratante</w:t>
      </w:r>
      <w:r>
        <w:rPr>
          <w:sz w:val="22"/>
          <w:szCs w:val="22"/>
        </w:rPr>
        <w:t>;</w:t>
      </w:r>
      <w:r w:rsidRPr="00875F90">
        <w:rPr>
          <w:sz w:val="22"/>
          <w:szCs w:val="22"/>
        </w:rPr>
        <w:t xml:space="preserve"> a melhoria contínua desses serviços</w:t>
      </w:r>
      <w:r>
        <w:rPr>
          <w:sz w:val="22"/>
          <w:szCs w:val="22"/>
        </w:rPr>
        <w:t>;</w:t>
      </w:r>
      <w:r w:rsidRPr="00875F90">
        <w:rPr>
          <w:sz w:val="22"/>
          <w:szCs w:val="22"/>
        </w:rPr>
        <w:t xml:space="preserve"> o monitoramento e o controle da prestação </w:t>
      </w:r>
      <w:r>
        <w:rPr>
          <w:sz w:val="22"/>
          <w:szCs w:val="22"/>
        </w:rPr>
        <w:t>de</w:t>
      </w:r>
      <w:r w:rsidRPr="00875F90">
        <w:rPr>
          <w:sz w:val="22"/>
          <w:szCs w:val="22"/>
        </w:rPr>
        <w:t xml:space="preserve"> serviço</w:t>
      </w:r>
      <w:r>
        <w:rPr>
          <w:sz w:val="22"/>
          <w:szCs w:val="22"/>
        </w:rPr>
        <w:t>s; e</w:t>
      </w:r>
      <w:r w:rsidRPr="00875F90">
        <w:rPr>
          <w:sz w:val="22"/>
          <w:szCs w:val="22"/>
        </w:rPr>
        <w:t xml:space="preserve"> a remuneração </w:t>
      </w:r>
      <w:r>
        <w:rPr>
          <w:sz w:val="22"/>
          <w:szCs w:val="22"/>
        </w:rPr>
        <w:t xml:space="preserve">na proporção do </w:t>
      </w:r>
      <w:r w:rsidRPr="00875F90">
        <w:rPr>
          <w:sz w:val="22"/>
          <w:szCs w:val="22"/>
        </w:rPr>
        <w:t xml:space="preserve">cumprimento das metas contratuais e </w:t>
      </w:r>
      <w:r>
        <w:rPr>
          <w:sz w:val="22"/>
          <w:szCs w:val="22"/>
        </w:rPr>
        <w:t>d</w:t>
      </w:r>
      <w:r w:rsidRPr="00875F90">
        <w:rPr>
          <w:sz w:val="22"/>
          <w:szCs w:val="22"/>
        </w:rPr>
        <w:t xml:space="preserve">a satisfação das expectativas dos clientes e usuários da Contratante por meio da medição do desempenho da Contratada, </w:t>
      </w:r>
      <w:r>
        <w:rPr>
          <w:sz w:val="22"/>
          <w:szCs w:val="22"/>
        </w:rPr>
        <w:t>que deverá buscar</w:t>
      </w:r>
      <w:r w:rsidRPr="00875F90">
        <w:rPr>
          <w:sz w:val="22"/>
          <w:szCs w:val="22"/>
        </w:rPr>
        <w:t xml:space="preserve"> entregar serviços e/ou produtos de modo efetivo e com a qualidade mínima aceitável.</w:t>
      </w:r>
    </w:p>
    <w:p w:rsidR="00521518" w:rsidRPr="0029453B" w:rsidRDefault="00521518" w:rsidP="000D49A4">
      <w:pPr>
        <w:pStyle w:val="Default"/>
        <w:spacing w:afterLines="60" w:line="360" w:lineRule="auto"/>
        <w:jc w:val="both"/>
        <w:rPr>
          <w:bCs/>
          <w:sz w:val="22"/>
          <w:szCs w:val="22"/>
        </w:rPr>
      </w:pPr>
      <w:r w:rsidRPr="00F46FAC">
        <w:rPr>
          <w:b/>
          <w:sz w:val="22"/>
          <w:szCs w:val="22"/>
        </w:rPr>
        <w:t>Gestão de Riscos:</w:t>
      </w:r>
      <w:r>
        <w:rPr>
          <w:sz w:val="22"/>
          <w:szCs w:val="22"/>
        </w:rPr>
        <w:t xml:space="preserve"> é</w:t>
      </w:r>
      <w:r w:rsidRPr="00C96634">
        <w:rPr>
          <w:sz w:val="22"/>
          <w:szCs w:val="22"/>
        </w:rPr>
        <w:t xml:space="preserve"> operacionalizada pelo gerenciamento de risco, que identifica, avalia, administra, controla potenciais eventos ou situações e fornece razoável certeza quanto ao alcance dos objetivos desejados pelo TSE pertinentes à contratação</w:t>
      </w:r>
      <w:r>
        <w:rPr>
          <w:sz w:val="22"/>
          <w:szCs w:val="22"/>
        </w:rPr>
        <w:t>.</w:t>
      </w:r>
    </w:p>
    <w:p w:rsidR="00521518" w:rsidRPr="00B169EC" w:rsidRDefault="00521518" w:rsidP="000D49A4">
      <w:pPr>
        <w:pStyle w:val="Default"/>
        <w:spacing w:afterLines="60" w:line="360" w:lineRule="auto"/>
        <w:jc w:val="both"/>
        <w:rPr>
          <w:bCs/>
          <w:sz w:val="22"/>
          <w:szCs w:val="22"/>
        </w:rPr>
      </w:pPr>
      <w:r w:rsidRPr="00483682">
        <w:rPr>
          <w:b/>
          <w:bCs/>
          <w:sz w:val="22"/>
          <w:szCs w:val="22"/>
        </w:rPr>
        <w:t>Gestão do Conhecimento Tecnológico: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obrigação da Contratada em incluir e manter atualizados todos os dados, procedimentos, lições apreendidas, documentos e quaisquer outros tipos de informações necessárias à execução de procedimentos técnicos referentes aos produtos e serviços prestados por uma OS.</w:t>
      </w:r>
    </w:p>
    <w:p w:rsidR="00521518" w:rsidRDefault="00521518" w:rsidP="000D49A4">
      <w:pPr>
        <w:pStyle w:val="Default"/>
        <w:spacing w:afterLines="60" w:line="360" w:lineRule="auto"/>
        <w:jc w:val="both"/>
        <w:rPr>
          <w:sz w:val="22"/>
          <w:szCs w:val="22"/>
        </w:rPr>
      </w:pPr>
      <w:r w:rsidRPr="00E264FC">
        <w:rPr>
          <w:b/>
          <w:bCs/>
          <w:sz w:val="22"/>
          <w:szCs w:val="22"/>
        </w:rPr>
        <w:t>Indicadores:</w:t>
      </w:r>
      <w:r>
        <w:rPr>
          <w:bCs/>
          <w:sz w:val="22"/>
          <w:szCs w:val="22"/>
        </w:rPr>
        <w:t xml:space="preserve"> </w:t>
      </w:r>
      <w:r w:rsidRPr="00875F90">
        <w:rPr>
          <w:sz w:val="22"/>
          <w:szCs w:val="22"/>
        </w:rPr>
        <w:t xml:space="preserve">são instrumentos práticos de aferição do cumprimento e/ou alcance dos NMS que buscam, pelo conjunto de seus componentes </w:t>
      </w:r>
      <w:r>
        <w:rPr>
          <w:sz w:val="22"/>
          <w:szCs w:val="22"/>
        </w:rPr>
        <w:t>(</w:t>
      </w:r>
      <w:r w:rsidRPr="00875F90">
        <w:rPr>
          <w:sz w:val="22"/>
          <w:szCs w:val="22"/>
        </w:rPr>
        <w:t xml:space="preserve">forma de acompanhamento, </w:t>
      </w:r>
      <w:r w:rsidRPr="00875F90">
        <w:rPr>
          <w:sz w:val="22"/>
          <w:szCs w:val="22"/>
        </w:rPr>
        <w:lastRenderedPageBreak/>
        <w:t>instrumentos de medição e periodicidade</w:t>
      </w:r>
      <w:r>
        <w:rPr>
          <w:sz w:val="22"/>
          <w:szCs w:val="22"/>
        </w:rPr>
        <w:t>),</w:t>
      </w:r>
      <w:r w:rsidRPr="00875F90">
        <w:rPr>
          <w:sz w:val="22"/>
          <w:szCs w:val="22"/>
        </w:rPr>
        <w:t xml:space="preserve"> evidenciar o desempenho e as tendências de um serviço demandado e executado por uma atividade, uma tarefa ou um serviço em relação a uma meta de serviço.</w:t>
      </w:r>
    </w:p>
    <w:p w:rsidR="00521518" w:rsidRDefault="00521518" w:rsidP="000D49A4">
      <w:pPr>
        <w:pStyle w:val="Default"/>
        <w:spacing w:afterLines="60" w:line="360" w:lineRule="auto"/>
        <w:jc w:val="both"/>
        <w:rPr>
          <w:bCs/>
          <w:sz w:val="22"/>
          <w:szCs w:val="22"/>
        </w:rPr>
      </w:pPr>
      <w:r w:rsidRPr="00D81346">
        <w:rPr>
          <w:b/>
          <w:bCs/>
          <w:sz w:val="22"/>
          <w:szCs w:val="22"/>
        </w:rPr>
        <w:t>Item de Monitoramento e Controle (IMC):</w:t>
      </w:r>
      <w:r>
        <w:rPr>
          <w:bCs/>
          <w:sz w:val="22"/>
          <w:szCs w:val="22"/>
        </w:rPr>
        <w:t xml:space="preserve"> é o documento que consolida todos os mecanismos da GNS referentes a um aspecto específico (critério) da prestação dos serviços contratados.</w:t>
      </w:r>
    </w:p>
    <w:p w:rsidR="00521518" w:rsidRPr="006B485D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>
        <w:rPr>
          <w:rFonts w:ascii="Arial" w:hAnsi="Arial" w:cs="Arial"/>
          <w:b/>
        </w:rPr>
        <w:t>M</w:t>
      </w:r>
      <w:r w:rsidRPr="006B485D">
        <w:rPr>
          <w:rFonts w:ascii="Arial" w:hAnsi="Arial" w:cs="Arial"/>
          <w:b/>
        </w:rPr>
        <w:t xml:space="preserve">anutenção adaptativa: </w:t>
      </w:r>
      <w:r>
        <w:rPr>
          <w:rFonts w:ascii="Arial" w:hAnsi="Arial" w:cs="Arial"/>
        </w:rPr>
        <w:t>r</w:t>
      </w:r>
      <w:r w:rsidRPr="006B485D">
        <w:rPr>
          <w:rFonts w:ascii="Arial" w:hAnsi="Arial" w:cs="Arial"/>
        </w:rPr>
        <w:t>efere-se à adequação dos sistemas a novas regras de negócio, à nova legislação ou a novas tecnologias.</w:t>
      </w:r>
    </w:p>
    <w:p w:rsidR="00521518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33537">
        <w:rPr>
          <w:rFonts w:ascii="Arial" w:hAnsi="Arial" w:cs="Arial"/>
          <w:b/>
        </w:rPr>
        <w:t>Manutenção corretiva:</w:t>
      </w:r>
      <w:r>
        <w:rPr>
          <w:rFonts w:ascii="Arial" w:hAnsi="Arial" w:cs="Arial"/>
        </w:rPr>
        <w:t xml:space="preserve"> c</w:t>
      </w:r>
      <w:r w:rsidRPr="00C33537">
        <w:rPr>
          <w:rFonts w:ascii="Arial" w:hAnsi="Arial" w:cs="Arial"/>
        </w:rPr>
        <w:t>ontempla a identificação de pontos falhos e a eliminação de defeitos de códigos de funcionalidades de sistemas de informação, bem como a identificação, proposição e realização de ações de manutenção preventiva, visando prevenir a incidência de erros e problemas futuros</w:t>
      </w:r>
      <w:r>
        <w:rPr>
          <w:rFonts w:ascii="Arial" w:hAnsi="Arial" w:cs="Arial"/>
        </w:rPr>
        <w:t>.</w:t>
      </w:r>
    </w:p>
    <w:p w:rsidR="00521518" w:rsidRPr="00C33537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  <w:b/>
          <w:color w:val="161616"/>
        </w:rPr>
      </w:pPr>
      <w:r w:rsidRPr="006B485D">
        <w:rPr>
          <w:rFonts w:ascii="Arial" w:hAnsi="Arial" w:cs="Arial"/>
          <w:b/>
        </w:rPr>
        <w:t>Manutenção evolutiva:</w:t>
      </w:r>
      <w:r>
        <w:rPr>
          <w:rFonts w:ascii="Arial" w:hAnsi="Arial" w:cs="Arial"/>
        </w:rPr>
        <w:t xml:space="preserve"> a</w:t>
      </w:r>
      <w:r w:rsidRPr="006B485D">
        <w:rPr>
          <w:rFonts w:ascii="Arial" w:hAnsi="Arial" w:cs="Arial"/>
        </w:rPr>
        <w:t>brange a concepção e a implantação de novas funcionalidades em sistemas de informação existentes</w:t>
      </w:r>
      <w:r>
        <w:rPr>
          <w:rFonts w:ascii="Arial" w:hAnsi="Arial" w:cs="Arial"/>
        </w:rPr>
        <w:t>.</w:t>
      </w:r>
    </w:p>
    <w:p w:rsidR="00521518" w:rsidRPr="006B485D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>
        <w:rPr>
          <w:rFonts w:ascii="Arial" w:hAnsi="Arial" w:cs="Arial"/>
          <w:b/>
        </w:rPr>
        <w:t>M</w:t>
      </w:r>
      <w:r w:rsidRPr="006B485D">
        <w:rPr>
          <w:rFonts w:ascii="Arial" w:hAnsi="Arial" w:cs="Arial"/>
          <w:b/>
        </w:rPr>
        <w:t xml:space="preserve">anutenção perfectiva: </w:t>
      </w:r>
      <w:r>
        <w:rPr>
          <w:rFonts w:ascii="Arial" w:hAnsi="Arial" w:cs="Arial"/>
        </w:rPr>
        <w:t>c</w:t>
      </w:r>
      <w:r w:rsidRPr="006B485D">
        <w:rPr>
          <w:rFonts w:ascii="Arial" w:hAnsi="Arial" w:cs="Arial"/>
        </w:rPr>
        <w:t>ontempla a adequação das funcionalidades de sistemas de informação, visando à melhoria de seu desempenho e qualidade.</w:t>
      </w:r>
    </w:p>
    <w:p w:rsidR="00521518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 xml:space="preserve">Mecanismo </w:t>
      </w:r>
      <w:proofErr w:type="spellStart"/>
      <w:r w:rsidRPr="00CE4B22">
        <w:rPr>
          <w:rFonts w:ascii="Arial" w:hAnsi="Arial" w:cs="Arial"/>
          <w:b/>
          <w:i/>
        </w:rPr>
        <w:t>Patch-JBoss</w:t>
      </w:r>
      <w:proofErr w:type="spellEnd"/>
      <w:r w:rsidRPr="00CE4B22">
        <w:rPr>
          <w:rFonts w:ascii="Arial" w:hAnsi="Arial" w:cs="Arial"/>
          <w:b/>
        </w:rPr>
        <w:t xml:space="preserve"> corporativo:</w:t>
      </w:r>
      <w:r w:rsidRPr="00CE4B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</w:t>
      </w:r>
      <w:r w:rsidRPr="00CE4B22">
        <w:rPr>
          <w:rFonts w:ascii="Arial" w:hAnsi="Arial" w:cs="Arial"/>
        </w:rPr>
        <w:t xml:space="preserve">tilizado para instalar as bibliotecas que compõem a arquitetura de referência e que não estão contempladas na implantação do JEE. É o mecanismo de aplicação de correção e atualização do servidor de aplicação </w:t>
      </w:r>
      <w:proofErr w:type="spellStart"/>
      <w:r w:rsidRPr="00CE4B22">
        <w:rPr>
          <w:rFonts w:ascii="Arial" w:hAnsi="Arial" w:cs="Arial"/>
          <w:i/>
        </w:rPr>
        <w:t>JBoss</w:t>
      </w:r>
      <w:proofErr w:type="spellEnd"/>
      <w:r w:rsidRPr="00CE4B22">
        <w:rPr>
          <w:rFonts w:ascii="Arial" w:hAnsi="Arial" w:cs="Arial"/>
        </w:rPr>
        <w:t xml:space="preserve"> EAP</w:t>
      </w:r>
      <w:r>
        <w:rPr>
          <w:rFonts w:ascii="Arial" w:hAnsi="Arial" w:cs="Arial"/>
        </w:rPr>
        <w:t>.</w:t>
      </w:r>
    </w:p>
    <w:p w:rsidR="00521518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33537">
        <w:rPr>
          <w:rFonts w:ascii="Arial" w:hAnsi="Arial" w:cs="Arial"/>
          <w:b/>
        </w:rPr>
        <w:t>Modelo de Requisitos para Sistemas Informatizados de Gestão de Processos e Documentos do Poder Judiciário (</w:t>
      </w:r>
      <w:proofErr w:type="spellStart"/>
      <w:r w:rsidRPr="00C33537">
        <w:rPr>
          <w:rFonts w:ascii="Arial" w:hAnsi="Arial" w:cs="Arial"/>
          <w:b/>
        </w:rPr>
        <w:t>Moreq-Jus</w:t>
      </w:r>
      <w:proofErr w:type="spellEnd"/>
      <w:r w:rsidRPr="00C33537">
        <w:rPr>
          <w:rFonts w:ascii="Arial" w:hAnsi="Arial" w:cs="Arial"/>
          <w:b/>
        </w:rPr>
        <w:t xml:space="preserve">): </w:t>
      </w:r>
      <w:r>
        <w:rPr>
          <w:rFonts w:ascii="Arial" w:hAnsi="Arial" w:cs="Arial"/>
        </w:rPr>
        <w:t>estabelece requisitos mínimos para os sistemas informatizados do Poder Judiciário de forma a garantir a confiabilidade, a autenticidade e a acessibilidade dos documentos e processos geridos por esses sistemas.</w:t>
      </w:r>
    </w:p>
    <w:p w:rsidR="00521518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33537">
        <w:rPr>
          <w:rFonts w:ascii="Arial" w:hAnsi="Arial" w:cs="Arial"/>
          <w:b/>
        </w:rPr>
        <w:t>Modelo Nacional de Interoperabilidade (MNI) do Poder Judiciário:</w:t>
      </w:r>
      <w:r>
        <w:rPr>
          <w:rFonts w:ascii="Arial" w:hAnsi="Arial" w:cs="Arial"/>
        </w:rPr>
        <w:t xml:space="preserve"> estabelece padrões para intercâmbio de informações de processos judiciais e assemelhados entre os diversos órgãos de administração de justiça, além de servir de base para implementação das funcionalidades pertinentes no âmbito do sistema processual.</w:t>
      </w:r>
    </w:p>
    <w:p w:rsidR="00521518" w:rsidRDefault="00521518" w:rsidP="000D49A4">
      <w:pPr>
        <w:pStyle w:val="Default"/>
        <w:spacing w:afterLines="60" w:line="360" w:lineRule="auto"/>
        <w:jc w:val="both"/>
        <w:rPr>
          <w:sz w:val="22"/>
          <w:szCs w:val="22"/>
        </w:rPr>
      </w:pPr>
      <w:r w:rsidRPr="00E264FC">
        <w:rPr>
          <w:b/>
          <w:sz w:val="22"/>
          <w:szCs w:val="22"/>
        </w:rPr>
        <w:t>Níveis Mínimos de Serviços</w:t>
      </w:r>
      <w:r>
        <w:rPr>
          <w:b/>
          <w:sz w:val="22"/>
          <w:szCs w:val="22"/>
        </w:rPr>
        <w:t xml:space="preserve"> (NMS)</w:t>
      </w:r>
      <w:r w:rsidRPr="00E264FC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875F90">
        <w:rPr>
          <w:sz w:val="22"/>
          <w:szCs w:val="22"/>
        </w:rPr>
        <w:t xml:space="preserve">representam regras objetivas e fixas que estipulam valores e/ou características mínimas de atendimento a uma meta de serviço a </w:t>
      </w:r>
      <w:r>
        <w:rPr>
          <w:sz w:val="22"/>
          <w:szCs w:val="22"/>
        </w:rPr>
        <w:t>ser cumprida</w:t>
      </w:r>
      <w:r w:rsidRPr="00875F90">
        <w:rPr>
          <w:sz w:val="22"/>
          <w:szCs w:val="22"/>
        </w:rPr>
        <w:t xml:space="preserve"> pela Contratada quando da execução e da entrega de serviços e/ou produtos demandados em uma OS</w:t>
      </w:r>
      <w:r>
        <w:rPr>
          <w:sz w:val="22"/>
          <w:szCs w:val="22"/>
        </w:rPr>
        <w:t>.</w:t>
      </w:r>
    </w:p>
    <w:p w:rsidR="00521518" w:rsidRPr="007D2895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29453B">
        <w:rPr>
          <w:rFonts w:ascii="Arial" w:hAnsi="Arial" w:cs="Arial"/>
          <w:b/>
          <w:color w:val="161616"/>
        </w:rPr>
        <w:lastRenderedPageBreak/>
        <w:t>Ordem de Serviço</w:t>
      </w:r>
      <w:r w:rsidRPr="0029453B">
        <w:rPr>
          <w:rFonts w:ascii="Arial" w:hAnsi="Arial" w:cs="Arial"/>
          <w:color w:val="161616"/>
        </w:rPr>
        <w:t xml:space="preserve">: </w:t>
      </w:r>
      <w:r>
        <w:rPr>
          <w:rFonts w:ascii="Arial" w:hAnsi="Arial" w:cs="Arial"/>
        </w:rPr>
        <w:t>é</w:t>
      </w:r>
      <w:r w:rsidRPr="0029453B">
        <w:rPr>
          <w:rFonts w:ascii="Arial" w:hAnsi="Arial" w:cs="Arial"/>
        </w:rPr>
        <w:t xml:space="preserve"> o instrumento administrativo legal que autoriza a prestação do serviço e </w:t>
      </w:r>
      <w:r>
        <w:rPr>
          <w:rFonts w:ascii="Arial" w:hAnsi="Arial" w:cs="Arial"/>
        </w:rPr>
        <w:t>que</w:t>
      </w:r>
      <w:r w:rsidRPr="002945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serve</w:t>
      </w:r>
      <w:r w:rsidRPr="0029453B">
        <w:rPr>
          <w:rFonts w:ascii="Arial" w:hAnsi="Arial" w:cs="Arial"/>
        </w:rPr>
        <w:t xml:space="preserve"> de consulta base para fins de recebimento provisório, definitivo e faturamentos.</w:t>
      </w:r>
    </w:p>
    <w:p w:rsidR="00521518" w:rsidRPr="0029453B" w:rsidRDefault="00521518" w:rsidP="000D49A4">
      <w:pPr>
        <w:pStyle w:val="Default"/>
        <w:spacing w:afterLines="60" w:line="360" w:lineRule="auto"/>
        <w:jc w:val="both"/>
        <w:rPr>
          <w:sz w:val="22"/>
          <w:szCs w:val="22"/>
          <w:lang w:val="pt-PT"/>
        </w:rPr>
      </w:pPr>
      <w:r w:rsidRPr="0029453B">
        <w:rPr>
          <w:b/>
          <w:bCs/>
          <w:sz w:val="22"/>
          <w:szCs w:val="22"/>
        </w:rPr>
        <w:t xml:space="preserve">Perfil profissional: </w:t>
      </w:r>
      <w:r>
        <w:rPr>
          <w:bCs/>
          <w:sz w:val="22"/>
          <w:szCs w:val="22"/>
        </w:rPr>
        <w:t>é</w:t>
      </w:r>
      <w:r w:rsidRPr="0029453B">
        <w:rPr>
          <w:bCs/>
          <w:sz w:val="22"/>
          <w:szCs w:val="22"/>
        </w:rPr>
        <w:t xml:space="preserve"> o </w:t>
      </w:r>
      <w:r w:rsidRPr="0029453B">
        <w:rPr>
          <w:sz w:val="22"/>
          <w:szCs w:val="22"/>
          <w:lang w:val="pt-PT"/>
        </w:rPr>
        <w:t>conjunto de requisitos de competências, de experiências e de habilidades estabelecido para garantir que um profissional, alocado nesse conjunto, possa executar um serviço com a efetividade mínima esperada pelo TSE.</w:t>
      </w:r>
    </w:p>
    <w:p w:rsidR="00521518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  <w:i/>
          <w:iCs/>
        </w:rPr>
      </w:pPr>
      <w:r w:rsidRPr="00CE4B22">
        <w:rPr>
          <w:rFonts w:ascii="Arial" w:hAnsi="Arial" w:cs="Arial"/>
          <w:b/>
        </w:rPr>
        <w:t xml:space="preserve">Política para desenvolvimento de </w:t>
      </w:r>
      <w:r w:rsidRPr="00823B00">
        <w:rPr>
          <w:rFonts w:ascii="Arial" w:hAnsi="Arial" w:cs="Arial"/>
          <w:b/>
        </w:rPr>
        <w:t>Web Service</w:t>
      </w:r>
      <w:r w:rsidRPr="00CE4B22">
        <w:rPr>
          <w:rFonts w:ascii="Arial" w:hAnsi="Arial" w:cs="Arial"/>
          <w:b/>
        </w:rPr>
        <w:t>:</w:t>
      </w:r>
      <w:r w:rsidRPr="00CE4B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CE4B22">
        <w:rPr>
          <w:rFonts w:ascii="Arial" w:hAnsi="Arial" w:cs="Arial"/>
        </w:rPr>
        <w:t xml:space="preserve">onjunto de melhores práticas recomendadas para o desenvolvimento de integrações entre sistemas de software via </w:t>
      </w:r>
      <w:r w:rsidRPr="00823B00">
        <w:rPr>
          <w:rFonts w:ascii="Arial" w:hAnsi="Arial" w:cs="Arial"/>
          <w:iCs/>
        </w:rPr>
        <w:t>Web Service</w:t>
      </w:r>
      <w:r>
        <w:rPr>
          <w:rFonts w:ascii="Arial" w:hAnsi="Arial" w:cs="Arial"/>
          <w:i/>
          <w:iCs/>
        </w:rPr>
        <w:t>.</w:t>
      </w:r>
    </w:p>
    <w:p w:rsidR="00521518" w:rsidRDefault="00521518" w:rsidP="000D49A4">
      <w:pPr>
        <w:pStyle w:val="Default"/>
        <w:spacing w:afterLines="60" w:line="360" w:lineRule="auto"/>
        <w:jc w:val="both"/>
        <w:rPr>
          <w:sz w:val="22"/>
          <w:szCs w:val="22"/>
        </w:rPr>
      </w:pPr>
      <w:r w:rsidRPr="00195E89">
        <w:rPr>
          <w:b/>
          <w:sz w:val="22"/>
          <w:szCs w:val="22"/>
        </w:rPr>
        <w:t>Ponto de Especificação</w:t>
      </w:r>
      <w:proofErr w:type="gramStart"/>
      <w:r w:rsidRPr="00195E89">
        <w:rPr>
          <w:b/>
          <w:sz w:val="22"/>
          <w:szCs w:val="22"/>
        </w:rPr>
        <w:t xml:space="preserve"> por Ex</w:t>
      </w:r>
      <w:r>
        <w:rPr>
          <w:b/>
          <w:sz w:val="22"/>
          <w:szCs w:val="22"/>
        </w:rPr>
        <w:t>e</w:t>
      </w:r>
      <w:r w:rsidRPr="00195E89">
        <w:rPr>
          <w:b/>
          <w:sz w:val="22"/>
          <w:szCs w:val="22"/>
        </w:rPr>
        <w:t>mplo</w:t>
      </w:r>
      <w:proofErr w:type="gramEnd"/>
      <w:r w:rsidRPr="00195E89">
        <w:rPr>
          <w:b/>
          <w:sz w:val="22"/>
          <w:szCs w:val="22"/>
        </w:rPr>
        <w:t xml:space="preserve"> (PEEX):</w:t>
      </w:r>
      <w:r>
        <w:rPr>
          <w:sz w:val="22"/>
          <w:szCs w:val="22"/>
        </w:rPr>
        <w:t xml:space="preserve"> métrica utilizada para aferir tamanho de software por meio de funções de transações e cenários orientados por comportamento — BDD (</w:t>
      </w:r>
      <w:proofErr w:type="spellStart"/>
      <w:r w:rsidRPr="00AA2786">
        <w:rPr>
          <w:i/>
          <w:sz w:val="22"/>
          <w:szCs w:val="22"/>
        </w:rPr>
        <w:t>Behavior</w:t>
      </w:r>
      <w:proofErr w:type="spellEnd"/>
      <w:r w:rsidRPr="00AA2786">
        <w:rPr>
          <w:i/>
          <w:sz w:val="22"/>
          <w:szCs w:val="22"/>
        </w:rPr>
        <w:t xml:space="preserve"> </w:t>
      </w:r>
      <w:proofErr w:type="spellStart"/>
      <w:r w:rsidRPr="00AA2786">
        <w:rPr>
          <w:i/>
          <w:sz w:val="22"/>
          <w:szCs w:val="22"/>
        </w:rPr>
        <w:t>Driven</w:t>
      </w:r>
      <w:proofErr w:type="spellEnd"/>
      <w:r w:rsidRPr="00AA2786">
        <w:rPr>
          <w:i/>
          <w:sz w:val="22"/>
          <w:szCs w:val="22"/>
        </w:rPr>
        <w:t xml:space="preserve"> </w:t>
      </w:r>
      <w:proofErr w:type="spellStart"/>
      <w:r w:rsidRPr="00AA2786">
        <w:rPr>
          <w:i/>
          <w:sz w:val="22"/>
          <w:szCs w:val="22"/>
        </w:rPr>
        <w:t>Development</w:t>
      </w:r>
      <w:proofErr w:type="spellEnd"/>
      <w:r>
        <w:rPr>
          <w:sz w:val="22"/>
          <w:szCs w:val="22"/>
        </w:rPr>
        <w:t>).</w:t>
      </w:r>
    </w:p>
    <w:p w:rsidR="007D6796" w:rsidRDefault="007D6796" w:rsidP="000D49A4">
      <w:pPr>
        <w:pStyle w:val="Default"/>
        <w:spacing w:afterLines="6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Posto de Trabalho: </w:t>
      </w:r>
      <w:r w:rsidR="003006D9">
        <w:rPr>
          <w:sz w:val="22"/>
          <w:szCs w:val="22"/>
        </w:rPr>
        <w:t>unidade ou projeto que demanda a prestação de serviços do contrato a serem atendidas por uma ou mais Ordens de Serviço.</w:t>
      </w:r>
      <w:r w:rsidR="003B4C1D">
        <w:rPr>
          <w:sz w:val="22"/>
          <w:szCs w:val="22"/>
        </w:rPr>
        <w:t xml:space="preserve"> Um posto de trabalho indicará a quantidade de profissionais, por perfil, em um período de execução.</w:t>
      </w:r>
    </w:p>
    <w:p w:rsidR="00521518" w:rsidRDefault="00521518" w:rsidP="000D49A4">
      <w:pPr>
        <w:pStyle w:val="Default"/>
        <w:spacing w:afterLines="60" w:line="360" w:lineRule="auto"/>
        <w:jc w:val="both"/>
        <w:rPr>
          <w:sz w:val="22"/>
          <w:szCs w:val="22"/>
        </w:rPr>
      </w:pPr>
      <w:r w:rsidRPr="00195E89">
        <w:rPr>
          <w:b/>
          <w:sz w:val="22"/>
          <w:szCs w:val="22"/>
        </w:rPr>
        <w:t>Processo Elementar (PE):</w:t>
      </w:r>
      <w:r>
        <w:rPr>
          <w:sz w:val="22"/>
          <w:szCs w:val="22"/>
        </w:rPr>
        <w:t xml:space="preserve"> é a menor unidade de atividade reconhecida pelo usuário, podendo ser entendida como uma tarefa ou funcionalidade oferecida em um sistema da informação para responder a uma necessidade de negócio.</w:t>
      </w:r>
    </w:p>
    <w:p w:rsidR="00521518" w:rsidRDefault="00521518" w:rsidP="000D49A4">
      <w:pPr>
        <w:pStyle w:val="Default"/>
        <w:spacing w:afterLines="60" w:line="360" w:lineRule="auto"/>
        <w:jc w:val="both"/>
        <w:rPr>
          <w:sz w:val="22"/>
          <w:szCs w:val="22"/>
        </w:rPr>
      </w:pPr>
      <w:r w:rsidRPr="008F5B19">
        <w:rPr>
          <w:b/>
          <w:sz w:val="22"/>
          <w:szCs w:val="22"/>
        </w:rPr>
        <w:t>Qualidade Mínima Aceitável (QMA):</w:t>
      </w:r>
      <w:r>
        <w:rPr>
          <w:sz w:val="22"/>
          <w:szCs w:val="22"/>
        </w:rPr>
        <w:t xml:space="preserve"> é o atendimento ao conjunto de parâmetros previamente definidos pela Contratante garantidores das expectativas de seus clientes e usuários.</w:t>
      </w:r>
    </w:p>
    <w:p w:rsidR="00521518" w:rsidRPr="0029453B" w:rsidRDefault="00521518" w:rsidP="000D49A4">
      <w:pPr>
        <w:pStyle w:val="Default"/>
        <w:spacing w:afterLines="60" w:line="360" w:lineRule="auto"/>
        <w:jc w:val="both"/>
        <w:rPr>
          <w:bCs/>
          <w:sz w:val="22"/>
          <w:szCs w:val="22"/>
        </w:rPr>
      </w:pPr>
      <w:r w:rsidRPr="0029453B">
        <w:rPr>
          <w:b/>
          <w:bCs/>
          <w:sz w:val="22"/>
          <w:szCs w:val="22"/>
        </w:rPr>
        <w:t xml:space="preserve">Relatório Consolidado de Ordem de Serviço (RCOS): </w:t>
      </w:r>
      <w:r w:rsidRPr="0029453B">
        <w:rPr>
          <w:sz w:val="22"/>
          <w:szCs w:val="22"/>
        </w:rPr>
        <w:t>detalhamento técnico de todos os serviços entregues entre o primeiro e o último dia corrido do mês de referência.</w:t>
      </w:r>
    </w:p>
    <w:p w:rsidR="00521518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>Técnicas de teste em apoio ao teste unitário, testes de integração e teste de aceitação:</w:t>
      </w:r>
      <w:r w:rsidRPr="00CE4B22">
        <w:rPr>
          <w:rFonts w:ascii="Arial" w:hAnsi="Arial" w:cs="Arial"/>
        </w:rPr>
        <w:t xml:space="preserve"> </w:t>
      </w:r>
      <w:proofErr w:type="spellStart"/>
      <w:r w:rsidRPr="00CE4B22">
        <w:rPr>
          <w:rFonts w:ascii="Arial" w:hAnsi="Arial" w:cs="Arial"/>
          <w:i/>
          <w:iCs/>
        </w:rPr>
        <w:t>Test-Driven</w:t>
      </w:r>
      <w:proofErr w:type="spellEnd"/>
      <w:r w:rsidRPr="00CE4B22">
        <w:rPr>
          <w:rFonts w:ascii="Arial" w:hAnsi="Arial" w:cs="Arial"/>
          <w:i/>
          <w:iCs/>
        </w:rPr>
        <w:t xml:space="preserve"> </w:t>
      </w:r>
      <w:proofErr w:type="spellStart"/>
      <w:r w:rsidRPr="00CE4B22">
        <w:rPr>
          <w:rFonts w:ascii="Arial" w:hAnsi="Arial" w:cs="Arial"/>
          <w:i/>
          <w:iCs/>
        </w:rPr>
        <w:t>Development</w:t>
      </w:r>
      <w:proofErr w:type="spellEnd"/>
      <w:r w:rsidRPr="00CE4B22">
        <w:rPr>
          <w:rFonts w:ascii="Arial" w:hAnsi="Arial" w:cs="Arial"/>
          <w:i/>
          <w:iCs/>
        </w:rPr>
        <w:t xml:space="preserve"> </w:t>
      </w:r>
      <w:r w:rsidRPr="00CE4B22">
        <w:rPr>
          <w:rFonts w:ascii="Arial" w:hAnsi="Arial" w:cs="Arial"/>
        </w:rPr>
        <w:t xml:space="preserve">(TDD), </w:t>
      </w:r>
      <w:proofErr w:type="spellStart"/>
      <w:r w:rsidRPr="00CE4B22">
        <w:rPr>
          <w:rFonts w:ascii="Arial" w:hAnsi="Arial" w:cs="Arial"/>
          <w:i/>
          <w:iCs/>
        </w:rPr>
        <w:t>Behavior</w:t>
      </w:r>
      <w:proofErr w:type="spellEnd"/>
      <w:r w:rsidRPr="00CE4B22">
        <w:rPr>
          <w:rFonts w:ascii="Arial" w:hAnsi="Arial" w:cs="Arial"/>
          <w:i/>
          <w:iCs/>
        </w:rPr>
        <w:t xml:space="preserve"> </w:t>
      </w:r>
      <w:proofErr w:type="spellStart"/>
      <w:r w:rsidRPr="00CE4B22">
        <w:rPr>
          <w:rFonts w:ascii="Arial" w:hAnsi="Arial" w:cs="Arial"/>
          <w:i/>
          <w:iCs/>
        </w:rPr>
        <w:t>Driven</w:t>
      </w:r>
      <w:proofErr w:type="spellEnd"/>
      <w:r w:rsidRPr="00CE4B22">
        <w:rPr>
          <w:rFonts w:ascii="Arial" w:hAnsi="Arial" w:cs="Arial"/>
          <w:i/>
          <w:iCs/>
        </w:rPr>
        <w:t xml:space="preserve"> </w:t>
      </w:r>
      <w:proofErr w:type="spellStart"/>
      <w:r w:rsidRPr="00CE4B22">
        <w:rPr>
          <w:rFonts w:ascii="Arial" w:hAnsi="Arial" w:cs="Arial"/>
          <w:i/>
          <w:iCs/>
        </w:rPr>
        <w:t>Development</w:t>
      </w:r>
      <w:proofErr w:type="spellEnd"/>
      <w:r w:rsidRPr="00CE4B22">
        <w:rPr>
          <w:rFonts w:ascii="Arial" w:hAnsi="Arial" w:cs="Arial"/>
        </w:rPr>
        <w:t xml:space="preserve"> (BDD) e </w:t>
      </w:r>
      <w:proofErr w:type="spellStart"/>
      <w:r w:rsidRPr="00CE4B22">
        <w:rPr>
          <w:rFonts w:ascii="Arial" w:hAnsi="Arial" w:cs="Arial"/>
          <w:i/>
          <w:iCs/>
        </w:rPr>
        <w:t>Acceptance</w:t>
      </w:r>
      <w:proofErr w:type="spellEnd"/>
      <w:r w:rsidRPr="00CE4B22">
        <w:rPr>
          <w:rFonts w:ascii="Arial" w:hAnsi="Arial" w:cs="Arial"/>
          <w:i/>
          <w:iCs/>
        </w:rPr>
        <w:t xml:space="preserve"> </w:t>
      </w:r>
      <w:proofErr w:type="spellStart"/>
      <w:r w:rsidRPr="00CE4B22">
        <w:rPr>
          <w:rFonts w:ascii="Arial" w:hAnsi="Arial" w:cs="Arial"/>
          <w:i/>
          <w:iCs/>
        </w:rPr>
        <w:t>Test</w:t>
      </w:r>
      <w:proofErr w:type="spellEnd"/>
      <w:r w:rsidRPr="00CE4B22">
        <w:rPr>
          <w:rFonts w:ascii="Arial" w:hAnsi="Arial" w:cs="Arial"/>
          <w:i/>
          <w:iCs/>
        </w:rPr>
        <w:t xml:space="preserve"> </w:t>
      </w:r>
      <w:proofErr w:type="spellStart"/>
      <w:r w:rsidRPr="00CE4B22">
        <w:rPr>
          <w:rFonts w:ascii="Arial" w:hAnsi="Arial" w:cs="Arial"/>
          <w:i/>
          <w:iCs/>
        </w:rPr>
        <w:t>Driven</w:t>
      </w:r>
      <w:proofErr w:type="spellEnd"/>
      <w:r w:rsidRPr="00CE4B22">
        <w:rPr>
          <w:rFonts w:ascii="Arial" w:hAnsi="Arial" w:cs="Arial"/>
          <w:i/>
          <w:iCs/>
        </w:rPr>
        <w:t xml:space="preserve"> </w:t>
      </w:r>
      <w:proofErr w:type="spellStart"/>
      <w:r w:rsidRPr="00CE4B22">
        <w:rPr>
          <w:rFonts w:ascii="Arial" w:hAnsi="Arial" w:cs="Arial"/>
          <w:i/>
          <w:iCs/>
        </w:rPr>
        <w:t>Development</w:t>
      </w:r>
      <w:proofErr w:type="spellEnd"/>
      <w:r w:rsidRPr="00CE4B22">
        <w:rPr>
          <w:rFonts w:ascii="Arial" w:hAnsi="Arial" w:cs="Arial"/>
        </w:rPr>
        <w:t xml:space="preserve"> (ATDD)</w:t>
      </w:r>
      <w:r>
        <w:rPr>
          <w:rFonts w:ascii="Arial" w:hAnsi="Arial" w:cs="Arial"/>
        </w:rPr>
        <w:t>.</w:t>
      </w:r>
    </w:p>
    <w:p w:rsidR="00521518" w:rsidRPr="00CE4B22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>Teste de Aceitação:</w:t>
      </w:r>
      <w:r w:rsidRPr="00CE4B22">
        <w:rPr>
          <w:rFonts w:ascii="Arial" w:hAnsi="Arial" w:cs="Arial"/>
        </w:rPr>
        <w:t xml:space="preserve"> conduzido no ambiente de homologação com os usuários finais.</w:t>
      </w:r>
    </w:p>
    <w:p w:rsidR="00521518" w:rsidRPr="00CE4B22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>Teste de Caixa Branca:</w:t>
      </w:r>
      <w:r w:rsidRPr="00CE4B22">
        <w:rPr>
          <w:rFonts w:ascii="Arial" w:hAnsi="Arial" w:cs="Arial"/>
        </w:rPr>
        <w:t xml:space="preserve"> garante que todos os caminhos independentes de um módulo tenham sido executados pelo menos uma vez, assim como suas decisões lógicas em seus lados verdadeiros e falsos, os ciclos nos seus limites e dentro de seus intervalos operacionais e as estruturas de dados internas para garantir sua viabilidade</w:t>
      </w:r>
      <w:r>
        <w:rPr>
          <w:rFonts w:ascii="Arial" w:hAnsi="Arial" w:cs="Arial"/>
        </w:rPr>
        <w:t>.</w:t>
      </w:r>
    </w:p>
    <w:p w:rsidR="00521518" w:rsidRPr="00CE4B22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lastRenderedPageBreak/>
        <w:t>Teste de Caixa Preta:</w:t>
      </w:r>
      <w:r>
        <w:rPr>
          <w:rFonts w:ascii="Arial" w:hAnsi="Arial" w:cs="Arial"/>
        </w:rPr>
        <w:t xml:space="preserve"> conduzido</w:t>
      </w:r>
      <w:r w:rsidRPr="00CE4B22">
        <w:rPr>
          <w:rFonts w:ascii="Arial" w:hAnsi="Arial" w:cs="Arial"/>
        </w:rPr>
        <w:t xml:space="preserve"> na interface do software para assegurar a execução dos requisitos definidos</w:t>
      </w:r>
      <w:r>
        <w:rPr>
          <w:rFonts w:ascii="Arial" w:hAnsi="Arial" w:cs="Arial"/>
        </w:rPr>
        <w:t>.</w:t>
      </w:r>
    </w:p>
    <w:p w:rsidR="00521518" w:rsidRPr="00CE4B22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>Teste de Estresse:</w:t>
      </w:r>
      <w:r w:rsidRPr="00CE4B22">
        <w:rPr>
          <w:rFonts w:ascii="Arial" w:hAnsi="Arial" w:cs="Arial"/>
        </w:rPr>
        <w:t xml:space="preserve"> submete as unidades e integrações do sistema à avaliação do desempenho funcional e não funcional exigido.</w:t>
      </w:r>
    </w:p>
    <w:p w:rsidR="00521518" w:rsidRPr="00CE4B22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>Teste de Integração:</w:t>
      </w:r>
      <w:r w:rsidRPr="00CE4B22">
        <w:rPr>
          <w:rFonts w:ascii="Arial" w:hAnsi="Arial" w:cs="Arial"/>
        </w:rPr>
        <w:t xml:space="preserve"> técnica sistemática para construir a ar</w:t>
      </w:r>
      <w:r>
        <w:rPr>
          <w:rFonts w:ascii="Arial" w:hAnsi="Arial" w:cs="Arial"/>
        </w:rPr>
        <w:t xml:space="preserve">quitetura do software enquanto </w:t>
      </w:r>
      <w:r w:rsidRPr="00CE4B22">
        <w:rPr>
          <w:rFonts w:ascii="Arial" w:hAnsi="Arial" w:cs="Arial"/>
        </w:rPr>
        <w:t>conduz testes para descobrir erros associados às interfaces partindo de componentes testados no nível de unidade. Deverão ser utilizados testes de integração descendentes (</w:t>
      </w:r>
      <w:proofErr w:type="spellStart"/>
      <w:r w:rsidRPr="005E0F30">
        <w:rPr>
          <w:rFonts w:ascii="Arial" w:hAnsi="Arial" w:cs="Arial"/>
          <w:i/>
        </w:rPr>
        <w:t>top-down</w:t>
      </w:r>
      <w:proofErr w:type="spellEnd"/>
      <w:r w:rsidRPr="00CE4B22">
        <w:rPr>
          <w:rFonts w:ascii="Arial" w:hAnsi="Arial" w:cs="Arial"/>
        </w:rPr>
        <w:t>) e ascendentes (</w:t>
      </w:r>
      <w:proofErr w:type="spellStart"/>
      <w:r w:rsidRPr="005E0F30">
        <w:rPr>
          <w:rFonts w:ascii="Arial" w:hAnsi="Arial" w:cs="Arial"/>
          <w:i/>
        </w:rPr>
        <w:t>bottom-up</w:t>
      </w:r>
      <w:proofErr w:type="spellEnd"/>
      <w:r w:rsidRPr="00CE4B22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521518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>Teste de Regressão:</w:t>
      </w:r>
      <w:r w:rsidRPr="00CE4B22">
        <w:rPr>
          <w:rFonts w:ascii="Arial" w:hAnsi="Arial" w:cs="Arial"/>
        </w:rPr>
        <w:t xml:space="preserve"> cada vez que um módulo ou uma funcionalidade é adicionado(a</w:t>
      </w:r>
      <w:r>
        <w:rPr>
          <w:rFonts w:ascii="Arial" w:hAnsi="Arial" w:cs="Arial"/>
        </w:rPr>
        <w:t xml:space="preserve">) ou alterado(a), o software </w:t>
      </w:r>
      <w:r w:rsidRPr="00CE4B22">
        <w:rPr>
          <w:rFonts w:ascii="Arial" w:hAnsi="Arial" w:cs="Arial"/>
        </w:rPr>
        <w:t>modifica</w:t>
      </w:r>
      <w:r>
        <w:rPr>
          <w:rFonts w:ascii="Arial" w:hAnsi="Arial" w:cs="Arial"/>
        </w:rPr>
        <w:t>-se</w:t>
      </w:r>
      <w:r w:rsidRPr="00CE4B22">
        <w:rPr>
          <w:rFonts w:ascii="Arial" w:hAnsi="Arial" w:cs="Arial"/>
        </w:rPr>
        <w:t>.</w:t>
      </w:r>
    </w:p>
    <w:p w:rsidR="00521518" w:rsidRPr="00CE4B22" w:rsidRDefault="00521518" w:rsidP="000D49A4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>Teste de Unidade:</w:t>
      </w:r>
      <w:r w:rsidRPr="00CE4B22">
        <w:rPr>
          <w:rFonts w:ascii="Arial" w:hAnsi="Arial" w:cs="Arial"/>
        </w:rPr>
        <w:t xml:space="preserve"> focaliza o esforço de verificação na menor unidade de projeto do software — componente, método, função ou procedimento de software</w:t>
      </w:r>
      <w:r>
        <w:rPr>
          <w:rFonts w:ascii="Arial" w:hAnsi="Arial" w:cs="Arial"/>
        </w:rPr>
        <w:t>.</w:t>
      </w:r>
    </w:p>
    <w:p w:rsidR="00B05CFD" w:rsidRPr="002A6986" w:rsidRDefault="00521518" w:rsidP="00E549FF">
      <w:pPr>
        <w:autoSpaceDE w:val="0"/>
        <w:autoSpaceDN w:val="0"/>
        <w:adjustRightInd w:val="0"/>
        <w:spacing w:afterLines="60"/>
        <w:rPr>
          <w:rFonts w:ascii="Arial" w:hAnsi="Arial" w:cs="Arial"/>
        </w:rPr>
      </w:pPr>
      <w:r w:rsidRPr="00CE4B22">
        <w:rPr>
          <w:rFonts w:ascii="Arial" w:hAnsi="Arial" w:cs="Arial"/>
          <w:b/>
        </w:rPr>
        <w:t>Teste Exploratório:</w:t>
      </w:r>
      <w:r w:rsidRPr="00CE4B22">
        <w:rPr>
          <w:rFonts w:ascii="Arial" w:hAnsi="Arial" w:cs="Arial"/>
        </w:rPr>
        <w:t xml:space="preserve"> executar o sistema sob o ponto de vista do seu usuário final, varrendo as funcionalidades em busca de falhas relativas aos objetivos a que se destinam, conforme especificação.</w:t>
      </w:r>
    </w:p>
    <w:sectPr w:rsidR="00B05CFD" w:rsidRPr="002A6986" w:rsidSect="008278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ACC7"/>
    <w:multiLevelType w:val="hybridMultilevel"/>
    <w:tmpl w:val="5AEBCA6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913A08"/>
    <w:multiLevelType w:val="hybridMultilevel"/>
    <w:tmpl w:val="21A8EEC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5B322C"/>
    <w:multiLevelType w:val="multilevel"/>
    <w:tmpl w:val="E9DE8E2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292C2475"/>
    <w:multiLevelType w:val="multilevel"/>
    <w:tmpl w:val="4162AE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7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9AC101F"/>
    <w:multiLevelType w:val="multilevel"/>
    <w:tmpl w:val="2DB2884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49BB5C06"/>
    <w:multiLevelType w:val="hybridMultilevel"/>
    <w:tmpl w:val="1D36EF08"/>
    <w:lvl w:ilvl="0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80C9C"/>
    <w:rsid w:val="00055B77"/>
    <w:rsid w:val="000811A1"/>
    <w:rsid w:val="000C2A85"/>
    <w:rsid w:val="000D49A4"/>
    <w:rsid w:val="00137C9B"/>
    <w:rsid w:val="00140426"/>
    <w:rsid w:val="001778AA"/>
    <w:rsid w:val="00183D34"/>
    <w:rsid w:val="00195E89"/>
    <w:rsid w:val="001C11E6"/>
    <w:rsid w:val="001D0030"/>
    <w:rsid w:val="001D04E7"/>
    <w:rsid w:val="001D5E38"/>
    <w:rsid w:val="001E1CA2"/>
    <w:rsid w:val="001F11DA"/>
    <w:rsid w:val="001F7EFF"/>
    <w:rsid w:val="00214EB5"/>
    <w:rsid w:val="00247A9B"/>
    <w:rsid w:val="00250324"/>
    <w:rsid w:val="00261E55"/>
    <w:rsid w:val="00276691"/>
    <w:rsid w:val="00280C9C"/>
    <w:rsid w:val="0029453B"/>
    <w:rsid w:val="0029772D"/>
    <w:rsid w:val="002A6986"/>
    <w:rsid w:val="002A6EE9"/>
    <w:rsid w:val="002B287D"/>
    <w:rsid w:val="002D28FD"/>
    <w:rsid w:val="002D4642"/>
    <w:rsid w:val="003006D9"/>
    <w:rsid w:val="003126E7"/>
    <w:rsid w:val="00343E7A"/>
    <w:rsid w:val="003476FC"/>
    <w:rsid w:val="003723A8"/>
    <w:rsid w:val="003726BA"/>
    <w:rsid w:val="00384065"/>
    <w:rsid w:val="00390BCC"/>
    <w:rsid w:val="003953E4"/>
    <w:rsid w:val="00397EDA"/>
    <w:rsid w:val="003B4C1D"/>
    <w:rsid w:val="003D01C9"/>
    <w:rsid w:val="0040643E"/>
    <w:rsid w:val="00417541"/>
    <w:rsid w:val="0043400D"/>
    <w:rsid w:val="00454BE1"/>
    <w:rsid w:val="00455027"/>
    <w:rsid w:val="00477C32"/>
    <w:rsid w:val="00483682"/>
    <w:rsid w:val="004A1D6A"/>
    <w:rsid w:val="004B7695"/>
    <w:rsid w:val="005019C0"/>
    <w:rsid w:val="00507C9D"/>
    <w:rsid w:val="00521518"/>
    <w:rsid w:val="00545041"/>
    <w:rsid w:val="0057228C"/>
    <w:rsid w:val="005744CC"/>
    <w:rsid w:val="005812E2"/>
    <w:rsid w:val="00586B4A"/>
    <w:rsid w:val="00592699"/>
    <w:rsid w:val="005C3E0C"/>
    <w:rsid w:val="005D1C67"/>
    <w:rsid w:val="00621698"/>
    <w:rsid w:val="006400A8"/>
    <w:rsid w:val="0064457C"/>
    <w:rsid w:val="006A5A44"/>
    <w:rsid w:val="006B485D"/>
    <w:rsid w:val="006C173E"/>
    <w:rsid w:val="006E698D"/>
    <w:rsid w:val="006F2382"/>
    <w:rsid w:val="007111F1"/>
    <w:rsid w:val="007306F5"/>
    <w:rsid w:val="00743604"/>
    <w:rsid w:val="00796DD7"/>
    <w:rsid w:val="007A74E6"/>
    <w:rsid w:val="007C00F1"/>
    <w:rsid w:val="007D6796"/>
    <w:rsid w:val="007F43AD"/>
    <w:rsid w:val="008206F7"/>
    <w:rsid w:val="0082784A"/>
    <w:rsid w:val="00843D4F"/>
    <w:rsid w:val="008543C9"/>
    <w:rsid w:val="00883944"/>
    <w:rsid w:val="008D5615"/>
    <w:rsid w:val="008F5B19"/>
    <w:rsid w:val="00904949"/>
    <w:rsid w:val="009150AE"/>
    <w:rsid w:val="00922FAE"/>
    <w:rsid w:val="00937CCB"/>
    <w:rsid w:val="00977223"/>
    <w:rsid w:val="00996F40"/>
    <w:rsid w:val="009977FE"/>
    <w:rsid w:val="009D0B63"/>
    <w:rsid w:val="00A076CC"/>
    <w:rsid w:val="00A10F08"/>
    <w:rsid w:val="00A3699E"/>
    <w:rsid w:val="00A36F8F"/>
    <w:rsid w:val="00A93923"/>
    <w:rsid w:val="00AF0BFB"/>
    <w:rsid w:val="00B05CFD"/>
    <w:rsid w:val="00B169EC"/>
    <w:rsid w:val="00B354E1"/>
    <w:rsid w:val="00B464E5"/>
    <w:rsid w:val="00B51EE6"/>
    <w:rsid w:val="00B6446B"/>
    <w:rsid w:val="00BD66F6"/>
    <w:rsid w:val="00BD7CA2"/>
    <w:rsid w:val="00BF05BB"/>
    <w:rsid w:val="00BF2190"/>
    <w:rsid w:val="00C04A86"/>
    <w:rsid w:val="00C16FE4"/>
    <w:rsid w:val="00C33537"/>
    <w:rsid w:val="00C809C4"/>
    <w:rsid w:val="00C907DD"/>
    <w:rsid w:val="00CC18F5"/>
    <w:rsid w:val="00CE4B22"/>
    <w:rsid w:val="00CE5176"/>
    <w:rsid w:val="00D32F51"/>
    <w:rsid w:val="00D40932"/>
    <w:rsid w:val="00D75C11"/>
    <w:rsid w:val="00D81346"/>
    <w:rsid w:val="00DA448A"/>
    <w:rsid w:val="00DE2A07"/>
    <w:rsid w:val="00DE5168"/>
    <w:rsid w:val="00DE53B1"/>
    <w:rsid w:val="00E12119"/>
    <w:rsid w:val="00E264FC"/>
    <w:rsid w:val="00E549FF"/>
    <w:rsid w:val="00E55A43"/>
    <w:rsid w:val="00E644E9"/>
    <w:rsid w:val="00E71A49"/>
    <w:rsid w:val="00E86183"/>
    <w:rsid w:val="00EE1E4C"/>
    <w:rsid w:val="00F078EF"/>
    <w:rsid w:val="00F2687E"/>
    <w:rsid w:val="00F46FAC"/>
    <w:rsid w:val="00F53644"/>
    <w:rsid w:val="00F67C62"/>
    <w:rsid w:val="00F70ECA"/>
    <w:rsid w:val="00FB6995"/>
    <w:rsid w:val="00FE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5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80C9C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B7695"/>
    <w:pPr>
      <w:spacing w:after="0" w:line="240" w:lineRule="auto"/>
      <w:ind w:left="720"/>
      <w:contextualSpacing/>
      <w:jc w:val="left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PargrafodaListaChar">
    <w:name w:val="Parágrafo da Lista Char"/>
    <w:link w:val="PargrafodaLista"/>
    <w:uiPriority w:val="34"/>
    <w:rsid w:val="004B7695"/>
    <w:rPr>
      <w:rFonts w:ascii="Arial" w:eastAsia="Times New Roman" w:hAnsi="Arial" w:cs="Tahoma"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0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04E7"/>
    <w:rPr>
      <w:rFonts w:ascii="Tahoma" w:hAnsi="Tahoma" w:cs="Tahoma"/>
      <w:sz w:val="16"/>
      <w:szCs w:val="16"/>
    </w:rPr>
  </w:style>
  <w:style w:type="character" w:styleId="Hyperlink">
    <w:name w:val="Hyperlink"/>
    <w:rsid w:val="00D40932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1242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valeria.ribeiro</dc:creator>
  <cp:lastModifiedBy>elmano.alves</cp:lastModifiedBy>
  <cp:revision>3</cp:revision>
  <dcterms:created xsi:type="dcterms:W3CDTF">2019-11-20T18:30:00Z</dcterms:created>
  <dcterms:modified xsi:type="dcterms:W3CDTF">2019-11-20T18:32:00Z</dcterms:modified>
</cp:coreProperties>
</file>